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80821" w14:textId="77777777" w:rsidR="00EC03A5" w:rsidRPr="007A4A8C" w:rsidRDefault="00EC03A5" w:rsidP="007A4A8C">
      <w:pPr>
        <w:spacing w:after="0"/>
        <w:rPr>
          <w:b/>
        </w:rPr>
      </w:pPr>
    </w:p>
    <w:p w14:paraId="4F7CC403" w14:textId="77C1150F" w:rsidR="000B01A4" w:rsidRPr="003110FB" w:rsidRDefault="00DC4C91" w:rsidP="000B01A4">
      <w:pPr>
        <w:pStyle w:val="ListParagraph"/>
        <w:numPr>
          <w:ilvl w:val="0"/>
          <w:numId w:val="1"/>
        </w:numPr>
        <w:spacing w:after="0"/>
      </w:pPr>
      <w:r>
        <w:t>Working group n</w:t>
      </w:r>
      <w:r w:rsidR="000B01A4" w:rsidRPr="003110FB">
        <w:t>ame:</w:t>
      </w:r>
    </w:p>
    <w:p w14:paraId="007881C2" w14:textId="77777777" w:rsidR="000B01A4" w:rsidRPr="003110FB" w:rsidRDefault="000B01A4" w:rsidP="000B01A4">
      <w:pPr>
        <w:spacing w:after="0"/>
      </w:pPr>
      <w:bookmarkStart w:id="0" w:name="_GoBack"/>
      <w:bookmarkEnd w:id="0"/>
    </w:p>
    <w:p w14:paraId="403A0A8A" w14:textId="73F5E4E0" w:rsidR="000B01A4" w:rsidRPr="00121814" w:rsidRDefault="00E90776" w:rsidP="000B01A4">
      <w:pPr>
        <w:pStyle w:val="ListParagraph"/>
        <w:spacing w:after="0"/>
        <w:rPr>
          <w:i/>
          <w:color w:val="0070C0"/>
        </w:rPr>
      </w:pPr>
      <w:r>
        <w:rPr>
          <w:i/>
          <w:color w:val="5B9BD5" w:themeColor="accent1"/>
        </w:rPr>
        <w:t>Transportation, Storage and Disposal</w:t>
      </w:r>
    </w:p>
    <w:p w14:paraId="71198959" w14:textId="77777777" w:rsidR="00121814" w:rsidRPr="003110FB" w:rsidRDefault="00121814" w:rsidP="000B01A4">
      <w:pPr>
        <w:pStyle w:val="ListParagraph"/>
        <w:spacing w:after="0"/>
      </w:pPr>
    </w:p>
    <w:p w14:paraId="0DB32DFC" w14:textId="142AAB3B" w:rsidR="007746E2" w:rsidRDefault="00DC4C91" w:rsidP="007A4A8C">
      <w:pPr>
        <w:pStyle w:val="ListParagraph"/>
        <w:numPr>
          <w:ilvl w:val="0"/>
          <w:numId w:val="1"/>
        </w:numPr>
        <w:spacing w:after="0"/>
      </w:pPr>
      <w:r>
        <w:t>Individual s</w:t>
      </w:r>
      <w:r w:rsidR="007746E2" w:rsidRPr="003110FB">
        <w:t xml:space="preserve">ponsor(s): </w:t>
      </w:r>
    </w:p>
    <w:p w14:paraId="0B50922D" w14:textId="77777777" w:rsidR="00121814" w:rsidRDefault="00121814" w:rsidP="00121814">
      <w:pPr>
        <w:pStyle w:val="ListParagraph"/>
        <w:spacing w:after="0"/>
      </w:pPr>
    </w:p>
    <w:p w14:paraId="2D0471C9" w14:textId="04B6C640" w:rsidR="00121814" w:rsidRPr="009B779E" w:rsidRDefault="00E90776" w:rsidP="00121814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>Joe Pollock, Deputy Administrator, Division of Public and Behavioral Health</w:t>
      </w:r>
    </w:p>
    <w:p w14:paraId="2480E420" w14:textId="726B7A62" w:rsidR="00121814" w:rsidRPr="009B779E" w:rsidRDefault="00E90776" w:rsidP="00121814">
      <w:pPr>
        <w:pStyle w:val="ListParagraph"/>
        <w:spacing w:after="0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Brett </w:t>
      </w:r>
      <w:proofErr w:type="spellStart"/>
      <w:r>
        <w:rPr>
          <w:i/>
          <w:color w:val="5B9BD5" w:themeColor="accent1"/>
        </w:rPr>
        <w:t>Scolari</w:t>
      </w:r>
      <w:proofErr w:type="spellEnd"/>
      <w:r>
        <w:rPr>
          <w:i/>
          <w:color w:val="5B9BD5" w:themeColor="accent1"/>
        </w:rPr>
        <w:t xml:space="preserve">, </w:t>
      </w:r>
      <w:proofErr w:type="spellStart"/>
      <w:r>
        <w:rPr>
          <w:i/>
          <w:color w:val="5B9BD5" w:themeColor="accent1"/>
        </w:rPr>
        <w:t>Tryke</w:t>
      </w:r>
      <w:proofErr w:type="spellEnd"/>
      <w:r>
        <w:rPr>
          <w:i/>
          <w:color w:val="5B9BD5" w:themeColor="accent1"/>
        </w:rPr>
        <w:t xml:space="preserve"> Companies</w:t>
      </w:r>
    </w:p>
    <w:p w14:paraId="5D933A96" w14:textId="4E37EF18" w:rsidR="00ED0037" w:rsidRPr="009B779E" w:rsidRDefault="00ED0037" w:rsidP="00121814">
      <w:pPr>
        <w:pStyle w:val="ListParagraph"/>
        <w:spacing w:after="0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>K</w:t>
      </w:r>
      <w:r w:rsidR="00E90776">
        <w:rPr>
          <w:i/>
          <w:color w:val="5B9BD5" w:themeColor="accent1"/>
        </w:rPr>
        <w:t>urt Brown, Capital Beverages</w:t>
      </w:r>
    </w:p>
    <w:p w14:paraId="448C22B4" w14:textId="77777777" w:rsidR="00ED0037" w:rsidRDefault="00ED0037" w:rsidP="00121814">
      <w:pPr>
        <w:pStyle w:val="ListParagraph"/>
        <w:spacing w:after="0"/>
        <w:rPr>
          <w:i/>
          <w:color w:val="0070C0"/>
        </w:rPr>
      </w:pPr>
    </w:p>
    <w:p w14:paraId="7F488D41" w14:textId="7095E274" w:rsidR="000B01A4" w:rsidRDefault="00DC4C91" w:rsidP="000B01A4">
      <w:pPr>
        <w:pStyle w:val="ListParagraph"/>
        <w:numPr>
          <w:ilvl w:val="0"/>
          <w:numId w:val="1"/>
        </w:numPr>
        <w:spacing w:after="0"/>
      </w:pPr>
      <w:r>
        <w:t>Describe the r</w:t>
      </w:r>
      <w:r w:rsidR="000B01A4" w:rsidRPr="003110FB">
        <w:t>ecommendation:</w:t>
      </w:r>
    </w:p>
    <w:p w14:paraId="264CBA7C" w14:textId="77777777" w:rsidR="00807C17" w:rsidRDefault="00807C17" w:rsidP="00807C17">
      <w:pPr>
        <w:pStyle w:val="ListParagraph"/>
        <w:spacing w:after="0"/>
      </w:pPr>
    </w:p>
    <w:p w14:paraId="6BB7E792" w14:textId="519FFE88" w:rsidR="00574568" w:rsidRDefault="00E90776" w:rsidP="00A661C2">
      <w:pPr>
        <w:spacing w:after="0"/>
        <w:ind w:left="720"/>
        <w:rPr>
          <w:i/>
          <w:color w:val="5B9BD5" w:themeColor="accent1"/>
        </w:rPr>
      </w:pPr>
      <w:r>
        <w:rPr>
          <w:i/>
          <w:color w:val="5B9BD5" w:themeColor="accent1"/>
        </w:rPr>
        <w:t xml:space="preserve">The Department of Taxation shall adopt regulations </w:t>
      </w:r>
      <w:r w:rsidR="006771D8">
        <w:rPr>
          <w:i/>
          <w:color w:val="5B9BD5" w:themeColor="accent1"/>
        </w:rPr>
        <w:t xml:space="preserve">similar in content to </w:t>
      </w:r>
      <w:r w:rsidR="0057595B">
        <w:rPr>
          <w:i/>
          <w:color w:val="5B9BD5" w:themeColor="accent1"/>
        </w:rPr>
        <w:t xml:space="preserve">NRS 453A and </w:t>
      </w:r>
      <w:r w:rsidR="006771D8">
        <w:rPr>
          <w:i/>
          <w:color w:val="5B9BD5" w:themeColor="accent1"/>
        </w:rPr>
        <w:t xml:space="preserve">NAC 453A </w:t>
      </w:r>
      <w:r>
        <w:rPr>
          <w:i/>
          <w:color w:val="5B9BD5" w:themeColor="accent1"/>
        </w:rPr>
        <w:t xml:space="preserve">that </w:t>
      </w:r>
      <w:r w:rsidR="00574568">
        <w:rPr>
          <w:i/>
          <w:color w:val="5B9BD5" w:themeColor="accent1"/>
        </w:rPr>
        <w:t xml:space="preserve">establish application and approval of marijuana distributors in accordance with </w:t>
      </w:r>
      <w:r w:rsidR="000A2FC7">
        <w:rPr>
          <w:i/>
          <w:color w:val="5B9BD5" w:themeColor="accent1"/>
        </w:rPr>
        <w:t xml:space="preserve">the applicable provisions of </w:t>
      </w:r>
      <w:r w:rsidR="00574568">
        <w:rPr>
          <w:i/>
          <w:color w:val="5B9BD5" w:themeColor="accent1"/>
        </w:rPr>
        <w:t xml:space="preserve">Section 5 of the </w:t>
      </w:r>
      <w:r w:rsidR="000A2FC7">
        <w:rPr>
          <w:i/>
          <w:color w:val="5B9BD5" w:themeColor="accent1"/>
        </w:rPr>
        <w:t>“</w:t>
      </w:r>
      <w:r w:rsidR="00574568">
        <w:rPr>
          <w:i/>
          <w:color w:val="5B9BD5" w:themeColor="accent1"/>
        </w:rPr>
        <w:t>Initiative to Regulate and Tax Marijuana</w:t>
      </w:r>
      <w:r w:rsidR="000A2FC7">
        <w:rPr>
          <w:i/>
          <w:color w:val="5B9BD5" w:themeColor="accent1"/>
        </w:rPr>
        <w:t>” to include:</w:t>
      </w:r>
    </w:p>
    <w:p w14:paraId="0727037B" w14:textId="55F4322F" w:rsidR="000A2FC7" w:rsidRPr="000A2FC7" w:rsidRDefault="000950CA" w:rsidP="00A661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1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(a)    Procedures for the issuance, renewal, suspension, and revocation of a license to operate a marijuana establishment</w:t>
      </w:r>
      <w:r w:rsidR="006771D8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</w:t>
      </w:r>
      <w:r w:rsidR="0057595B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NAC </w:t>
      </w:r>
      <w:r w:rsidR="006771D8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453A.300 to 453A318, inclusive; 453A.324 to 453A.332, inclusive)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;</w:t>
      </w:r>
    </w:p>
    <w:p w14:paraId="7EBD2F1E" w14:textId="143605ED" w:rsidR="000A2FC7" w:rsidRPr="000A2FC7" w:rsidRDefault="000950CA" w:rsidP="00A661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1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(b)    Qualifications for licensure that are directly and demonstrably related to the operation of a marijuana establishment</w:t>
      </w:r>
      <w:r w:rsidR="006771D8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</w:t>
      </w:r>
      <w:r w:rsidR="0057595B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NAC </w:t>
      </w:r>
      <w:r w:rsidR="006771D8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453A.306)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;</w:t>
      </w:r>
    </w:p>
    <w:p w14:paraId="3AC57CE6" w14:textId="778E0832" w:rsidR="000A2FC7" w:rsidRPr="000A2FC7" w:rsidRDefault="000950CA" w:rsidP="00A661C2">
      <w:pPr>
        <w:shd w:val="clear" w:color="auto" w:fill="FFFFFF"/>
        <w:spacing w:before="100" w:beforeAutospacing="1" w:after="100" w:afterAutospacing="1" w:line="240" w:lineRule="auto"/>
        <w:ind w:left="360" w:firstLine="36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1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(c)     Requirements for the security of marijuana establishments</w:t>
      </w:r>
      <w:r w:rsidR="006771D8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</w:t>
      </w:r>
      <w:r w:rsidR="0057595B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NAC </w:t>
      </w:r>
      <w:r w:rsidR="006771D8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453A.420)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;</w:t>
      </w:r>
    </w:p>
    <w:p w14:paraId="05DAF694" w14:textId="1EDD61B9" w:rsidR="000A2FC7" w:rsidRPr="000A2FC7" w:rsidRDefault="000950CA" w:rsidP="00A661C2">
      <w:pPr>
        <w:shd w:val="clear" w:color="auto" w:fill="FFFFFF"/>
        <w:spacing w:before="100" w:beforeAutospacing="1" w:after="100" w:afterAutospacing="1" w:line="240" w:lineRule="auto"/>
        <w:ind w:left="360" w:firstLine="36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1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(g)    Requirements for record keeping by marijuana establishments</w:t>
      </w:r>
      <w:r w:rsidR="006771D8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</w:t>
      </w:r>
      <w:r w:rsidR="0057595B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NAC </w:t>
      </w:r>
      <w:r w:rsidR="006771D8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453A.414</w:t>
      </w:r>
      <w:r w:rsidR="0057595B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)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;</w:t>
      </w:r>
    </w:p>
    <w:p w14:paraId="3C32386C" w14:textId="2DFABDEA" w:rsidR="000A2FC7" w:rsidRPr="000A2FC7" w:rsidRDefault="000950CA" w:rsidP="005759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1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(h)    Reasonable restrictions on signage, marketing, display, and advertising</w:t>
      </w:r>
      <w:r w:rsidR="0057595B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(NAC 453A.402)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;</w:t>
      </w:r>
    </w:p>
    <w:p w14:paraId="6DAB6AF6" w14:textId="07548D55" w:rsidR="000A2FC7" w:rsidRPr="000A2FC7" w:rsidRDefault="000950CA" w:rsidP="00A661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1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(i)      Procedur</w:t>
      </w:r>
      <w:r w:rsidR="0088664A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es for the collection of fees 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imposed by 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  <w:u w:val="single"/>
        </w:rPr>
        <w:t>SECTION 1 to SECTION 18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, inclusive, of this act</w:t>
      </w:r>
      <w:r w:rsidR="0057595B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(NAC 453A.352)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;</w:t>
      </w:r>
    </w:p>
    <w:p w14:paraId="64335680" w14:textId="51BEA8C1" w:rsidR="000A2FC7" w:rsidRPr="000A2FC7" w:rsidRDefault="000950CA" w:rsidP="00A661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1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(j)      Procedures and requirements to enable the transfer of a license for a marijuana establishment to another qualified person and to enable a licensee to move the location of its establishment to another suitable location</w:t>
      </w:r>
      <w:r w:rsidR="0057595B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(NRS 453A.334</w:t>
      </w:r>
      <w:r w:rsidR="00612439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and 453A.350</w:t>
      </w:r>
      <w:r w:rsidR="0057595B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)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;</w:t>
      </w:r>
    </w:p>
    <w:p w14:paraId="208A6583" w14:textId="1A5CDAC5" w:rsidR="000A2FC7" w:rsidRPr="000A2FC7" w:rsidRDefault="000950CA" w:rsidP="00A661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1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(k)    Procedures and requirements to enable a dual licensee to operate medical marijuana establishments and marijuana establishments at the same location</w:t>
      </w:r>
      <w:r w:rsidR="00612439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(NRS 453A.</w:t>
      </w: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350)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;</w:t>
      </w:r>
    </w:p>
    <w:p w14:paraId="58A914B2" w14:textId="77416532" w:rsidR="000A2FC7" w:rsidRPr="000A2FC7" w:rsidRDefault="0088664A" w:rsidP="00A661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</w:t>
      </w:r>
      <w:r w:rsidR="000950CA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1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(m)</w:t>
      </w:r>
      <w:proofErr w:type="gramStart"/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  Civil</w:t>
      </w:r>
      <w:proofErr w:type="gramEnd"/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penalties for the failure to comply with any regulation adopted pursuant to this section or for any violation of the provisions of 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  <w:u w:val="single"/>
        </w:rPr>
        <w:t>SECTION 13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of this act</w:t>
      </w:r>
      <w:r w:rsidR="000950CA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(NAC 453A.350 – no civil penalty currently exists, only suspension or revocation)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.</w:t>
      </w:r>
    </w:p>
    <w:p w14:paraId="698BE7B9" w14:textId="22D420C2" w:rsidR="000A2FC7" w:rsidRPr="000A2FC7" w:rsidRDefault="000950CA" w:rsidP="000950CA">
      <w:pPr>
        <w:shd w:val="clear" w:color="auto" w:fill="FFFFFF"/>
        <w:spacing w:before="24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2.</w:t>
      </w: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ab/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The Department shall approve or deny applications for licenses pursuant to 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  <w:u w:val="single"/>
        </w:rPr>
        <w:t>SECTION 9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of this act</w:t>
      </w:r>
      <w:r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(NAC 453A.332)</w:t>
      </w:r>
      <w:r w:rsidR="000A2FC7"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.</w:t>
      </w:r>
    </w:p>
    <w:p w14:paraId="37459619" w14:textId="43FC4D81" w:rsidR="000A2FC7" w:rsidRPr="000A2FC7" w:rsidRDefault="000A2FC7" w:rsidP="00A661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lastRenderedPageBreak/>
        <w:t xml:space="preserve">3.      The Department may by motion or on complaint, after investigation, notice of the specific violation, and an opportunity for a hearing, pursuant to the provisions of </w:t>
      </w:r>
      <w:hyperlink r:id="rId8" w:history="1">
        <w:r w:rsidRPr="000A2FC7">
          <w:rPr>
            <w:rFonts w:ascii="Helvetica" w:eastAsia="Times New Roman" w:hAnsi="Helvetica" w:cs="Times New Roman"/>
            <w:i/>
            <w:color w:val="5B9BD5" w:themeColor="accent1"/>
            <w:sz w:val="21"/>
            <w:szCs w:val="21"/>
          </w:rPr>
          <w:t>Chapter 233B of NRS</w:t>
        </w:r>
      </w:hyperlink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, suspend, revoke, or fine a licensee for the violation of 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  <w:u w:val="single"/>
        </w:rPr>
        <w:t>SECTION 1 to SECTION 18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, inclusive, of this act or for a violation of a regulation adopted by the Department pursuant to this section</w:t>
      </w:r>
      <w:r w:rsidR="000950CA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(NAC 453A.330)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.</w:t>
      </w:r>
    </w:p>
    <w:p w14:paraId="039C1A86" w14:textId="3EF9740A" w:rsidR="000A2FC7" w:rsidRPr="000A2FC7" w:rsidRDefault="000A2FC7" w:rsidP="00A661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4.      The Department may immediately suspend the license of any marijuana establishment if the marijuana establishment knowingly sells, delivers, or otherwise transfers marijuana in violation of 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  <w:u w:val="single"/>
        </w:rPr>
        <w:t>SECTION 1 to SECTION 18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, inclusive, of this act, or knowingly purchases marijuana from any person not licensed pursuant to 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  <w:u w:val="single"/>
        </w:rPr>
        <w:t>SECTION 1 to SECTION 18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, inclusive, of this act or to </w:t>
      </w:r>
      <w:hyperlink r:id="rId9" w:history="1">
        <w:r w:rsidRPr="000A2FC7">
          <w:rPr>
            <w:rFonts w:ascii="Helvetica" w:eastAsia="Times New Roman" w:hAnsi="Helvetica" w:cs="Times New Roman"/>
            <w:i/>
            <w:color w:val="5B9BD5" w:themeColor="accent1"/>
            <w:sz w:val="21"/>
            <w:szCs w:val="21"/>
          </w:rPr>
          <w:t>Chapter 453A of NRS [Medical Marijuana Law]</w:t>
        </w:r>
      </w:hyperlink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. The Department must provide an opportunity for a hearing pursuant to the provisions of </w:t>
      </w:r>
      <w:hyperlink r:id="rId10" w:anchor="NRS233BSec121" w:history="1">
        <w:r w:rsidRPr="000A2FC7">
          <w:rPr>
            <w:rFonts w:ascii="Helvetica" w:eastAsia="Times New Roman" w:hAnsi="Helvetica" w:cs="Times New Roman"/>
            <w:i/>
            <w:color w:val="5B9BD5" w:themeColor="accent1"/>
            <w:sz w:val="21"/>
            <w:szCs w:val="21"/>
          </w:rPr>
          <w:t>NRS 233B.121</w:t>
        </w:r>
      </w:hyperlink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within a reasonable time from a suspension pursuant to this subsection</w:t>
      </w:r>
      <w:r w:rsidR="000950CA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(NAC 453A.332)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.</w:t>
      </w:r>
    </w:p>
    <w:p w14:paraId="11A45B16" w14:textId="1282EB4A" w:rsidR="000A2FC7" w:rsidRPr="000A2FC7" w:rsidRDefault="000A2FC7" w:rsidP="00A661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6.      The Department shall conduct a background check of each prospective owner, officer, and board member of a marijuana establishment license applicant</w:t>
      </w:r>
      <w:r w:rsidR="00713915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(NRS 453A.322)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.</w:t>
      </w:r>
    </w:p>
    <w:p w14:paraId="69470912" w14:textId="43892E61" w:rsidR="000A2FC7" w:rsidRPr="000A2FC7" w:rsidRDefault="000A2FC7" w:rsidP="00A661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</w:pP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7.      The Department shall inspect marijuana establishments as necessary to enforce 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  <w:u w:val="single"/>
        </w:rPr>
        <w:t>SECTION 1 to SECTION 18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, inclusive, of this act or the regulations adopted pursuant to this section</w:t>
      </w:r>
      <w:r w:rsidR="00713915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 xml:space="preserve"> (NAC 453A.322)</w:t>
      </w:r>
      <w:r w:rsidRPr="000A2FC7">
        <w:rPr>
          <w:rFonts w:ascii="Helvetica" w:eastAsia="Times New Roman" w:hAnsi="Helvetica" w:cs="Times New Roman"/>
          <w:i/>
          <w:color w:val="5B9BD5" w:themeColor="accent1"/>
          <w:sz w:val="21"/>
          <w:szCs w:val="21"/>
        </w:rPr>
        <w:t>.</w:t>
      </w:r>
    </w:p>
    <w:p w14:paraId="425E2003" w14:textId="2FCD5F2E" w:rsidR="00E9081E" w:rsidRDefault="00DC4C91" w:rsidP="00E9081E">
      <w:pPr>
        <w:pStyle w:val="ListParagraph"/>
        <w:numPr>
          <w:ilvl w:val="0"/>
          <w:numId w:val="1"/>
        </w:numPr>
        <w:spacing w:after="0"/>
      </w:pPr>
      <w:r>
        <w:t>Which guiding p</w:t>
      </w:r>
      <w:r w:rsidR="00E9081E" w:rsidRPr="003110FB">
        <w:t>rinciple(s) does this recommendation support?</w:t>
      </w:r>
    </w:p>
    <w:p w14:paraId="24A68EC6" w14:textId="77777777" w:rsidR="007E53B9" w:rsidRPr="000C2992" w:rsidRDefault="00121814" w:rsidP="009B779E">
      <w:pPr>
        <w:tabs>
          <w:tab w:val="left" w:pos="8613"/>
        </w:tabs>
        <w:spacing w:after="200" w:line="300" w:lineRule="exact"/>
        <w:ind w:left="720" w:right="693"/>
        <w:jc w:val="both"/>
        <w:rPr>
          <w:rFonts w:ascii="Calibri" w:hAnsi="Calibri"/>
          <w:i/>
          <w:color w:val="5B9BD5" w:themeColor="accent1"/>
        </w:rPr>
      </w:pPr>
      <w:r w:rsidRPr="000C2992">
        <w:rPr>
          <w:i/>
          <w:color w:val="5B9BD5" w:themeColor="accent1"/>
        </w:rPr>
        <w:t xml:space="preserve">Guiding Principle </w:t>
      </w:r>
      <w:r w:rsidR="007E53B9" w:rsidRPr="000C2992">
        <w:rPr>
          <w:i/>
          <w:color w:val="5B9BD5" w:themeColor="accent1"/>
        </w:rPr>
        <w:t xml:space="preserve">4 - </w:t>
      </w:r>
      <w:r w:rsidR="007E53B9" w:rsidRPr="000C2992">
        <w:rPr>
          <w:rFonts w:ascii="Calibri" w:hAnsi="Calibri"/>
          <w:i/>
          <w:color w:val="5B9BD5" w:themeColor="accent1"/>
        </w:rPr>
        <w:t>Propose efficient and effective regulation that is clear and reasonable and not unduly burdensome</w:t>
      </w:r>
    </w:p>
    <w:p w14:paraId="67FE160D" w14:textId="77777777" w:rsidR="00E9081E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 xml:space="preserve">What provision(s) of Question 2 does this recommendation apply to?  </w:t>
      </w:r>
    </w:p>
    <w:p w14:paraId="689AE190" w14:textId="77777777" w:rsidR="00807C17" w:rsidRDefault="00807C17" w:rsidP="00807C17">
      <w:pPr>
        <w:pStyle w:val="ListParagraph"/>
        <w:spacing w:after="0"/>
      </w:pPr>
    </w:p>
    <w:p w14:paraId="0FD9C7FF" w14:textId="4F16CBD6" w:rsidR="00121814" w:rsidRPr="009B779E" w:rsidRDefault="000C2992" w:rsidP="00121814">
      <w:pPr>
        <w:pStyle w:val="ListParagraph"/>
        <w:spacing w:after="0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 xml:space="preserve">Section </w:t>
      </w:r>
      <w:r w:rsidR="00713915">
        <w:rPr>
          <w:i/>
          <w:color w:val="5B9BD5" w:themeColor="accent1"/>
        </w:rPr>
        <w:t xml:space="preserve">5. </w:t>
      </w:r>
    </w:p>
    <w:p w14:paraId="6C85577C" w14:textId="77777777" w:rsidR="00E9081E" w:rsidRPr="003110FB" w:rsidRDefault="00E9081E" w:rsidP="00E9081E">
      <w:pPr>
        <w:pStyle w:val="ListParagraph"/>
        <w:spacing w:after="0"/>
      </w:pPr>
    </w:p>
    <w:p w14:paraId="527A1772" w14:textId="77777777" w:rsidR="007A4A8C" w:rsidRDefault="00E9081E" w:rsidP="00E9081E">
      <w:pPr>
        <w:pStyle w:val="ListParagraph"/>
        <w:numPr>
          <w:ilvl w:val="0"/>
          <w:numId w:val="1"/>
        </w:numPr>
        <w:spacing w:after="0"/>
      </w:pPr>
      <w:r w:rsidRPr="003110FB">
        <w:t>What issue(s) does the recommendation resolve?</w:t>
      </w:r>
    </w:p>
    <w:p w14:paraId="697C0FBF" w14:textId="77777777" w:rsidR="00121814" w:rsidRDefault="00121814" w:rsidP="00121814">
      <w:pPr>
        <w:pStyle w:val="ListParagraph"/>
        <w:spacing w:after="0"/>
      </w:pPr>
    </w:p>
    <w:p w14:paraId="616BC16A" w14:textId="03360FF9" w:rsidR="000C2992" w:rsidRPr="009B779E" w:rsidRDefault="007E53B9" w:rsidP="00713915">
      <w:pPr>
        <w:pStyle w:val="ListParagraph"/>
        <w:spacing w:after="0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 xml:space="preserve">The recommendation </w:t>
      </w:r>
      <w:r w:rsidR="00713915">
        <w:rPr>
          <w:i/>
          <w:color w:val="5B9BD5" w:themeColor="accent1"/>
        </w:rPr>
        <w:t>regulatory structure and administrative codes specific to licensed distributors.</w:t>
      </w:r>
    </w:p>
    <w:p w14:paraId="43E8AD3A" w14:textId="77777777" w:rsidR="000C2992" w:rsidRPr="009B779E" w:rsidRDefault="000C2992" w:rsidP="00121814">
      <w:pPr>
        <w:pStyle w:val="ListParagraph"/>
        <w:spacing w:after="0"/>
        <w:rPr>
          <w:i/>
          <w:color w:val="5B9BD5" w:themeColor="accent1"/>
        </w:rPr>
      </w:pPr>
    </w:p>
    <w:p w14:paraId="7EE888FD" w14:textId="57F39BB4" w:rsidR="001B0ADC" w:rsidRPr="003110FB" w:rsidRDefault="001B0ADC" w:rsidP="001B0ADC">
      <w:pPr>
        <w:pStyle w:val="ListParagraph"/>
        <w:numPr>
          <w:ilvl w:val="0"/>
          <w:numId w:val="1"/>
        </w:numPr>
        <w:spacing w:after="0"/>
      </w:pPr>
      <w:r w:rsidRPr="003110FB">
        <w:t>Was there dissent in the group regarding this recommendation?  If yes, please provide a summary of the dissenting opinion regarding the recommendation.</w:t>
      </w:r>
    </w:p>
    <w:p w14:paraId="30E263BB" w14:textId="77777777" w:rsidR="00E9081E" w:rsidRPr="003110FB" w:rsidRDefault="00E9081E" w:rsidP="00E9081E">
      <w:pPr>
        <w:spacing w:after="0"/>
      </w:pPr>
    </w:p>
    <w:p w14:paraId="7818C550" w14:textId="6278FEF5" w:rsidR="00E9081E" w:rsidRPr="009B779E" w:rsidRDefault="009F65F5" w:rsidP="009F65F5">
      <w:pPr>
        <w:spacing w:after="0"/>
        <w:ind w:left="720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t>No dissent</w:t>
      </w:r>
    </w:p>
    <w:p w14:paraId="3588FBE3" w14:textId="77777777" w:rsidR="00E9081E" w:rsidRPr="003110FB" w:rsidRDefault="00E9081E" w:rsidP="00E9081E">
      <w:pPr>
        <w:spacing w:after="0"/>
      </w:pPr>
    </w:p>
    <w:p w14:paraId="765AA196" w14:textId="77777777" w:rsidR="009B779E" w:rsidRDefault="00E9081E" w:rsidP="009B779E">
      <w:pPr>
        <w:pStyle w:val="ListParagraph"/>
        <w:numPr>
          <w:ilvl w:val="0"/>
          <w:numId w:val="1"/>
        </w:numPr>
        <w:spacing w:after="0"/>
      </w:pPr>
      <w:r w:rsidRPr="003110FB">
        <w:t>What action(</w:t>
      </w:r>
      <w:r w:rsidR="00B70E4E" w:rsidRPr="003110FB">
        <w:t>s</w:t>
      </w:r>
      <w:r w:rsidRPr="003110FB">
        <w:t>)</w:t>
      </w:r>
      <w:r w:rsidR="00B70E4E" w:rsidRPr="003110FB">
        <w:t xml:space="preserve"> </w:t>
      </w:r>
      <w:r w:rsidRPr="003110FB">
        <w:t>will be necessary to a</w:t>
      </w:r>
      <w:r w:rsidR="006B0A7E" w:rsidRPr="003110FB">
        <w:t>dopt the recommendation?  Will statute, policy, r</w:t>
      </w:r>
      <w:r w:rsidRPr="003110FB">
        <w:t>egulations, etc. need to be addressed?</w:t>
      </w:r>
    </w:p>
    <w:p w14:paraId="3131CDB8" w14:textId="77777777" w:rsidR="009B779E" w:rsidRDefault="009B779E" w:rsidP="009B779E">
      <w:pPr>
        <w:pStyle w:val="ListParagraph"/>
        <w:spacing w:after="0"/>
      </w:pPr>
    </w:p>
    <w:p w14:paraId="7345BCBF" w14:textId="33A63749" w:rsidR="00DA5B73" w:rsidRPr="009B779E" w:rsidRDefault="00713915" w:rsidP="009B779E">
      <w:pPr>
        <w:pStyle w:val="ListParagraph"/>
        <w:spacing w:after="0"/>
      </w:pPr>
      <w:r>
        <w:rPr>
          <w:i/>
          <w:color w:val="5B9BD5" w:themeColor="accent1"/>
        </w:rPr>
        <w:t>Administrative codes would need to be adopted similar in content to those found in NRS 453A and NAC 453A.</w:t>
      </w:r>
    </w:p>
    <w:p w14:paraId="6E62C578" w14:textId="77777777" w:rsidR="00E9081E" w:rsidRPr="003110FB" w:rsidRDefault="00E9081E" w:rsidP="00E9081E">
      <w:pPr>
        <w:pStyle w:val="ListParagraph"/>
        <w:spacing w:after="0"/>
      </w:pPr>
    </w:p>
    <w:p w14:paraId="1EC95596" w14:textId="7858F08D" w:rsidR="00DD1A10" w:rsidRDefault="00CC30A8" w:rsidP="007A4A8C">
      <w:pPr>
        <w:pStyle w:val="ListParagraph"/>
        <w:numPr>
          <w:ilvl w:val="0"/>
          <w:numId w:val="1"/>
        </w:numPr>
        <w:spacing w:after="0"/>
      </w:pPr>
      <w:r w:rsidRPr="003110FB">
        <w:t>Additional information (cost of implementation, priority according to the recommendations, etc)</w:t>
      </w:r>
      <w:r w:rsidR="00B70E4E" w:rsidRPr="003110FB">
        <w:t>.</w:t>
      </w:r>
    </w:p>
    <w:p w14:paraId="199B291F" w14:textId="77777777" w:rsidR="00121814" w:rsidRDefault="00121814" w:rsidP="00121814">
      <w:pPr>
        <w:spacing w:after="0"/>
      </w:pPr>
    </w:p>
    <w:p w14:paraId="3AC63619" w14:textId="360AAF52" w:rsidR="00121814" w:rsidRPr="009B779E" w:rsidRDefault="00121814" w:rsidP="00121814">
      <w:pPr>
        <w:spacing w:after="0"/>
        <w:ind w:left="720"/>
        <w:rPr>
          <w:i/>
          <w:color w:val="5B9BD5" w:themeColor="accent1"/>
        </w:rPr>
      </w:pPr>
      <w:r w:rsidRPr="009B779E">
        <w:rPr>
          <w:i/>
          <w:color w:val="5B9BD5" w:themeColor="accent1"/>
        </w:rPr>
        <w:lastRenderedPageBreak/>
        <w:t>To be determined</w:t>
      </w:r>
    </w:p>
    <w:p w14:paraId="6BBB2368" w14:textId="77777777" w:rsidR="00753FA6" w:rsidRDefault="00753FA6" w:rsidP="007A4A8C">
      <w:pPr>
        <w:spacing w:after="0"/>
      </w:pPr>
    </w:p>
    <w:p w14:paraId="071157DF" w14:textId="77777777" w:rsidR="00CC30A8" w:rsidRPr="003110FB" w:rsidRDefault="00CC30A8" w:rsidP="007A4A8C">
      <w:pPr>
        <w:spacing w:after="0"/>
      </w:pPr>
    </w:p>
    <w:p w14:paraId="054A4F76" w14:textId="2DDF04A0" w:rsidR="00753FA6" w:rsidRPr="00753FA6" w:rsidRDefault="00753FA6" w:rsidP="009201F4">
      <w:pPr>
        <w:spacing w:after="0"/>
        <w:ind w:left="810" w:hanging="90"/>
        <w:rPr>
          <w:b/>
          <w:sz w:val="18"/>
          <w:szCs w:val="18"/>
        </w:rPr>
      </w:pPr>
    </w:p>
    <w:sectPr w:rsidR="00753FA6" w:rsidRPr="00753FA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01C2B" w14:textId="77777777" w:rsidR="008820F6" w:rsidRDefault="008820F6" w:rsidP="00391997">
      <w:pPr>
        <w:spacing w:after="0" w:line="240" w:lineRule="auto"/>
      </w:pPr>
      <w:r>
        <w:separator/>
      </w:r>
    </w:p>
  </w:endnote>
  <w:endnote w:type="continuationSeparator" w:id="0">
    <w:p w14:paraId="3C01F260" w14:textId="77777777" w:rsidR="008820F6" w:rsidRDefault="008820F6" w:rsidP="003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DC67" w14:textId="24F16344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i/>
        <w:color w:val="3737A5"/>
        <w:sz w:val="16"/>
        <w:szCs w:val="16"/>
      </w:rPr>
    </w:pPr>
    <w:r>
      <w:rPr>
        <w:rFonts w:ascii="Arial" w:eastAsia="Times New Roman" w:hAnsi="Arial" w:cs="Times New Roman"/>
        <w:i/>
        <w:noProof/>
        <w:color w:val="3737A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DB5857" wp14:editId="4AD8B2AF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5943600" cy="0"/>
              <wp:effectExtent l="9525" t="10795" r="9525" b="82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9A0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pt" to="468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" o:allowincell="f" strokecolor="navy" strokeweight="1pt"/>
          </w:pict>
        </mc:Fallback>
      </mc:AlternateContent>
    </w:r>
    <w:r w:rsidR="009805E6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Working Group Presentation to the </w:t>
    </w:r>
    <w:r w:rsidR="00AB71F7">
      <w:rPr>
        <w:rFonts w:ascii="Calibri" w:eastAsia="Times New Roman" w:hAnsi="Calibri" w:cs="Times New Roman"/>
        <w:b/>
        <w:i/>
        <w:color w:val="3737A5"/>
        <w:sz w:val="16"/>
        <w:szCs w:val="16"/>
      </w:rPr>
      <w:t>Task Force</w:t>
    </w:r>
    <w:r w:rsidR="009805E6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Form</w:t>
    </w:r>
    <w:r w:rsidR="00114EF2">
      <w:rPr>
        <w:rFonts w:ascii="Calibri" w:eastAsia="Times New Roman" w:hAnsi="Calibri" w:cs="Times New Roman"/>
        <w:b/>
        <w:i/>
        <w:color w:val="3737A5"/>
        <w:sz w:val="16"/>
        <w:szCs w:val="16"/>
      </w:rPr>
      <w:t xml:space="preserve"> v. 4.0</w:t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Pr="00F43822">
      <w:rPr>
        <w:rFonts w:ascii="Calibri" w:eastAsia="Times New Roman" w:hAnsi="Calibri" w:cs="Times New Roman"/>
        <w:bCs/>
        <w:i/>
        <w:color w:val="3737A5"/>
        <w:sz w:val="16"/>
        <w:szCs w:val="16"/>
      </w:rPr>
      <w:tab/>
    </w:r>
    <w:r w:rsidR="00FE2AEF">
      <w:rPr>
        <w:rFonts w:ascii="Calibri" w:eastAsia="Times New Roman" w:hAnsi="Calibri" w:cs="Times New Roman"/>
        <w:bCs/>
        <w:i/>
        <w:color w:val="3737A5"/>
        <w:sz w:val="16"/>
        <w:szCs w:val="16"/>
      </w:rPr>
      <w:t>April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 xml:space="preserve"> 1</w:t>
    </w:r>
    <w:r w:rsidR="00FE2AEF">
      <w:rPr>
        <w:rFonts w:ascii="Calibri" w:eastAsia="Times New Roman" w:hAnsi="Calibri" w:cs="Times New Roman"/>
        <w:bCs/>
        <w:i/>
        <w:color w:val="3737A5"/>
        <w:sz w:val="16"/>
        <w:szCs w:val="16"/>
      </w:rPr>
      <w:t>4</w:t>
    </w:r>
    <w:r w:rsidR="00FC1FA5">
      <w:rPr>
        <w:rFonts w:ascii="Calibri" w:eastAsia="Times New Roman" w:hAnsi="Calibri" w:cs="Times New Roman"/>
        <w:bCs/>
        <w:i/>
        <w:color w:val="3737A5"/>
        <w:sz w:val="16"/>
        <w:szCs w:val="16"/>
      </w:rPr>
      <w:t>, 2017</w:t>
    </w:r>
  </w:p>
  <w:p w14:paraId="3EA83F4C" w14:textId="53E31E85" w:rsidR="00F43822" w:rsidRPr="00F43822" w:rsidRDefault="00F43822" w:rsidP="00F43822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Times New Roman" w:hAnsi="Calibri" w:cs="Times New Roman"/>
        <w:i/>
        <w:color w:val="3737A5"/>
        <w:sz w:val="16"/>
        <w:szCs w:val="16"/>
      </w:rPr>
    </w:pPr>
  </w:p>
  <w:p w14:paraId="57912551" w14:textId="77777777" w:rsidR="00F43822" w:rsidRDefault="00F43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3F91" w14:textId="77777777" w:rsidR="008820F6" w:rsidRDefault="008820F6" w:rsidP="00391997">
      <w:pPr>
        <w:spacing w:after="0" w:line="240" w:lineRule="auto"/>
      </w:pPr>
      <w:r>
        <w:separator/>
      </w:r>
    </w:p>
  </w:footnote>
  <w:footnote w:type="continuationSeparator" w:id="0">
    <w:p w14:paraId="5E723935" w14:textId="77777777" w:rsidR="008820F6" w:rsidRDefault="008820F6" w:rsidP="003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DA88" w14:textId="1FCA9050" w:rsidR="00FE2AEF" w:rsidRPr="00013FA6" w:rsidRDefault="00FE2AEF" w:rsidP="00FE2AEF">
    <w:pPr>
      <w:tabs>
        <w:tab w:val="left" w:pos="-1260"/>
      </w:tabs>
      <w:spacing w:after="0" w:line="240" w:lineRule="auto"/>
      <w:ind w:left="1620"/>
      <w:rPr>
        <w:rFonts w:ascii="Cambria" w:hAnsi="Cambria"/>
        <w:b/>
        <w:color w:val="002060"/>
      </w:rPr>
    </w:pPr>
    <w:r w:rsidRPr="00013FA6">
      <w:rPr>
        <w:rFonts w:ascii="Cambria" w:hAnsi="Cambria"/>
        <w:b/>
        <w:color w:val="002060"/>
      </w:rPr>
      <w:t>Application Process for a Distributor License</w:t>
    </w:r>
    <w:r w:rsidRPr="00013FA6">
      <w:rPr>
        <w:rFonts w:ascii="Cambria" w:hAnsi="Cambria"/>
        <w:b/>
        <w:color w:val="002060"/>
      </w:rPr>
      <w:t xml:space="preserve"> - Recommendation</w:t>
    </w:r>
  </w:p>
  <w:p w14:paraId="17B7899E" w14:textId="77777777" w:rsidR="00391997" w:rsidRDefault="008313F9" w:rsidP="008313F9">
    <w:pPr>
      <w:pStyle w:val="Header"/>
      <w:jc w:val="center"/>
    </w:pPr>
    <w:r>
      <w:rPr>
        <w:noProof/>
      </w:rPr>
      <w:drawing>
        <wp:inline distT="0" distB="0" distL="0" distR="0" wp14:anchorId="1297EA96" wp14:editId="690F2A6C">
          <wp:extent cx="5751055" cy="47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394" cy="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4AD"/>
    <w:multiLevelType w:val="hybridMultilevel"/>
    <w:tmpl w:val="DACC5D74"/>
    <w:lvl w:ilvl="0" w:tplc="E1A06CB6">
      <w:start w:val="1"/>
      <w:numFmt w:val="decimal"/>
      <w:lvlText w:val="%1."/>
      <w:lvlJc w:val="left"/>
      <w:pPr>
        <w:ind w:left="821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FDD26AA"/>
    <w:multiLevelType w:val="hybridMultilevel"/>
    <w:tmpl w:val="CAC4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A26B0"/>
    <w:multiLevelType w:val="hybridMultilevel"/>
    <w:tmpl w:val="430808D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54569"/>
    <w:multiLevelType w:val="hybridMultilevel"/>
    <w:tmpl w:val="7B80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80E8A"/>
    <w:multiLevelType w:val="hybridMultilevel"/>
    <w:tmpl w:val="91666466"/>
    <w:lvl w:ilvl="0" w:tplc="C7B6300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BE65C2B"/>
    <w:multiLevelType w:val="hybridMultilevel"/>
    <w:tmpl w:val="BDAE45F4"/>
    <w:lvl w:ilvl="0" w:tplc="F9C0BD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41D94"/>
    <w:multiLevelType w:val="hybridMultilevel"/>
    <w:tmpl w:val="8FBC8E44"/>
    <w:lvl w:ilvl="0" w:tplc="8FE018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E2"/>
    <w:rsid w:val="00002F6E"/>
    <w:rsid w:val="00013FA6"/>
    <w:rsid w:val="00060468"/>
    <w:rsid w:val="00076768"/>
    <w:rsid w:val="000950CA"/>
    <w:rsid w:val="000A2FC7"/>
    <w:rsid w:val="000A61D0"/>
    <w:rsid w:val="000B01A4"/>
    <w:rsid w:val="000C2992"/>
    <w:rsid w:val="00114EF2"/>
    <w:rsid w:val="00121814"/>
    <w:rsid w:val="001866F9"/>
    <w:rsid w:val="001B0ADC"/>
    <w:rsid w:val="001B10FF"/>
    <w:rsid w:val="00202189"/>
    <w:rsid w:val="00202E4C"/>
    <w:rsid w:val="0023729A"/>
    <w:rsid w:val="002F2BA3"/>
    <w:rsid w:val="003110FB"/>
    <w:rsid w:val="0036762F"/>
    <w:rsid w:val="00391997"/>
    <w:rsid w:val="00393183"/>
    <w:rsid w:val="004039AB"/>
    <w:rsid w:val="00435662"/>
    <w:rsid w:val="00442A3F"/>
    <w:rsid w:val="00445021"/>
    <w:rsid w:val="00472966"/>
    <w:rsid w:val="00565923"/>
    <w:rsid w:val="00574568"/>
    <w:rsid w:val="0057595B"/>
    <w:rsid w:val="005E102D"/>
    <w:rsid w:val="00612439"/>
    <w:rsid w:val="006771D8"/>
    <w:rsid w:val="006B0A7E"/>
    <w:rsid w:val="006D4662"/>
    <w:rsid w:val="00700DCA"/>
    <w:rsid w:val="00713915"/>
    <w:rsid w:val="00753FA6"/>
    <w:rsid w:val="007746E2"/>
    <w:rsid w:val="00774894"/>
    <w:rsid w:val="007765FD"/>
    <w:rsid w:val="007A4A8C"/>
    <w:rsid w:val="007E53B9"/>
    <w:rsid w:val="00807C17"/>
    <w:rsid w:val="0082151A"/>
    <w:rsid w:val="008313F9"/>
    <w:rsid w:val="00844D6B"/>
    <w:rsid w:val="008820F6"/>
    <w:rsid w:val="00882EE9"/>
    <w:rsid w:val="0088664A"/>
    <w:rsid w:val="008A6C58"/>
    <w:rsid w:val="008D5094"/>
    <w:rsid w:val="008F0634"/>
    <w:rsid w:val="00900F6C"/>
    <w:rsid w:val="009201F4"/>
    <w:rsid w:val="009264B2"/>
    <w:rsid w:val="00957E83"/>
    <w:rsid w:val="00961D8A"/>
    <w:rsid w:val="00963BC2"/>
    <w:rsid w:val="009805E6"/>
    <w:rsid w:val="00996A51"/>
    <w:rsid w:val="009B779E"/>
    <w:rsid w:val="009D1938"/>
    <w:rsid w:val="009F65F5"/>
    <w:rsid w:val="00A312E6"/>
    <w:rsid w:val="00A65F54"/>
    <w:rsid w:val="00A661C2"/>
    <w:rsid w:val="00AB71F7"/>
    <w:rsid w:val="00B11C15"/>
    <w:rsid w:val="00B70E4E"/>
    <w:rsid w:val="00BC0B03"/>
    <w:rsid w:val="00BC0F10"/>
    <w:rsid w:val="00BF6BBC"/>
    <w:rsid w:val="00CC30A8"/>
    <w:rsid w:val="00D1307C"/>
    <w:rsid w:val="00D22E65"/>
    <w:rsid w:val="00D926ED"/>
    <w:rsid w:val="00DA287B"/>
    <w:rsid w:val="00DA5B73"/>
    <w:rsid w:val="00DC4C91"/>
    <w:rsid w:val="00DD1A10"/>
    <w:rsid w:val="00DE0ABD"/>
    <w:rsid w:val="00E826F7"/>
    <w:rsid w:val="00E90776"/>
    <w:rsid w:val="00E9081E"/>
    <w:rsid w:val="00E96CEA"/>
    <w:rsid w:val="00EC03A5"/>
    <w:rsid w:val="00ED0037"/>
    <w:rsid w:val="00F046BC"/>
    <w:rsid w:val="00F27CF2"/>
    <w:rsid w:val="00F43822"/>
    <w:rsid w:val="00F7185C"/>
    <w:rsid w:val="00FC1FA5"/>
    <w:rsid w:val="00FE2AEF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88FEDC"/>
  <w15:docId w15:val="{64DD2986-6B9C-48E2-8989-D9105274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822"/>
    <w:pPr>
      <w:keepNext/>
      <w:keepLines/>
      <w:spacing w:before="40" w:after="0" w:line="240" w:lineRule="auto"/>
      <w:ind w:left="720"/>
      <w:jc w:val="both"/>
      <w:outlineLvl w:val="1"/>
    </w:pPr>
    <w:rPr>
      <w:rFonts w:ascii="Cambria" w:eastAsiaTheme="majorEastAsia" w:hAnsi="Cambria" w:cstheme="majorBidi"/>
      <w:b/>
      <w:color w:val="3737A5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997"/>
  </w:style>
  <w:style w:type="paragraph" w:styleId="Footer">
    <w:name w:val="footer"/>
    <w:basedOn w:val="Normal"/>
    <w:link w:val="FooterChar"/>
    <w:uiPriority w:val="99"/>
    <w:unhideWhenUsed/>
    <w:rsid w:val="00391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97"/>
  </w:style>
  <w:style w:type="character" w:customStyle="1" w:styleId="Heading2Char">
    <w:name w:val="Heading 2 Char"/>
    <w:basedOn w:val="DefaultParagraphFont"/>
    <w:link w:val="Heading2"/>
    <w:uiPriority w:val="9"/>
    <w:rsid w:val="00F43822"/>
    <w:rPr>
      <w:rFonts w:ascii="Cambria" w:eastAsiaTheme="majorEastAsia" w:hAnsi="Cambria" w:cstheme="majorBidi"/>
      <w:b/>
      <w:color w:val="3737A5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753F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.state.nv.us/nrs/NRS-233B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.state.nv.us/nrs/NRS-233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.state.nv.us/nrs/NRS-453A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6036F-57B8-4A17-8691-A8659512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FORCE rePORT</vt:lpstr>
    </vt:vector>
  </TitlesOfParts>
  <Company>Toshiba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FORCE rePORT</dc:title>
  <dc:creator>mkretch@quantummark.com</dc:creator>
  <cp:lastModifiedBy>mkretch@quantummark.com</cp:lastModifiedBy>
  <cp:revision>3</cp:revision>
  <cp:lastPrinted>2017-03-28T23:33:00Z</cp:lastPrinted>
  <dcterms:created xsi:type="dcterms:W3CDTF">2017-04-04T20:41:00Z</dcterms:created>
  <dcterms:modified xsi:type="dcterms:W3CDTF">2017-04-04T20:46:00Z</dcterms:modified>
</cp:coreProperties>
</file>